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144B" w14:textId="77777777" w:rsidR="00F93762" w:rsidRDefault="00F93762" w:rsidP="00BA27A3">
      <w:pPr>
        <w:pStyle w:val="Heading2"/>
        <w:tabs>
          <w:tab w:val="right" w:pos="9270"/>
        </w:tabs>
      </w:pPr>
      <w:r>
        <w:rPr>
          <w:u w:val="single"/>
        </w:rPr>
        <w:t>PERSONNEL SERVICES</w:t>
      </w:r>
      <w:r>
        <w:tab/>
      </w:r>
      <w:r>
        <w:rPr>
          <w:u w:val="single"/>
        </w:rPr>
        <w:t>Policy</w:t>
      </w:r>
      <w:r>
        <w:t xml:space="preserve"> 4505</w:t>
      </w:r>
    </w:p>
    <w:p w14:paraId="7A194C9F" w14:textId="77777777" w:rsidR="00F93762" w:rsidRDefault="00F93762">
      <w:pPr>
        <w:rPr>
          <w:rFonts w:eastAsia="MS Mincho"/>
        </w:rPr>
      </w:pPr>
    </w:p>
    <w:p w14:paraId="379D65A0" w14:textId="77777777" w:rsidR="00F93762" w:rsidRDefault="00F93762">
      <w:pPr>
        <w:pStyle w:val="Heading1"/>
      </w:pPr>
      <w:r>
        <w:t>Compensation</w:t>
      </w:r>
    </w:p>
    <w:p w14:paraId="2C507A53" w14:textId="77777777" w:rsidR="00F93762" w:rsidRDefault="00F93762">
      <w:pPr>
        <w:rPr>
          <w:rFonts w:eastAsia="MS Mincho"/>
        </w:rPr>
      </w:pPr>
    </w:p>
    <w:p w14:paraId="26719BC5" w14:textId="77777777" w:rsidR="00F93762" w:rsidRDefault="00F93762">
      <w:pPr>
        <w:pStyle w:val="Heading1"/>
      </w:pPr>
      <w:r>
        <w:t>Salary Schedules</w:t>
      </w:r>
    </w:p>
    <w:p w14:paraId="6F719155" w14:textId="77777777" w:rsidR="00F93762" w:rsidRDefault="00F93762">
      <w:pPr>
        <w:rPr>
          <w:rFonts w:eastAsia="MS Mincho"/>
        </w:rPr>
      </w:pPr>
    </w:p>
    <w:p w14:paraId="72E14FA1" w14:textId="77777777" w:rsidR="00F93762" w:rsidRDefault="00F93762">
      <w:pPr>
        <w:rPr>
          <w:rFonts w:eastAsia="MS Mincho"/>
        </w:rPr>
      </w:pPr>
    </w:p>
    <w:p w14:paraId="48B8C71A" w14:textId="77777777" w:rsidR="00F93762" w:rsidRDefault="00F93762" w:rsidP="00B50749">
      <w:pPr>
        <w:jc w:val="both"/>
        <w:rPr>
          <w:rFonts w:eastAsia="MS Mincho"/>
        </w:rPr>
      </w:pPr>
      <w:r>
        <w:rPr>
          <w:rFonts w:eastAsia="MS Mincho"/>
        </w:rPr>
        <w:t xml:space="preserve">The Superintendent, with input from staff members, will prepare salary schedules annually for all </w:t>
      </w:r>
      <w:r w:rsidR="00E46EF0">
        <w:rPr>
          <w:rFonts w:eastAsia="MS Mincho"/>
        </w:rPr>
        <w:t xml:space="preserve">non-administrative employee groups.  </w:t>
      </w:r>
      <w:r>
        <w:rPr>
          <w:rFonts w:eastAsia="MS Mincho"/>
        </w:rPr>
        <w:t>These schedules will be submitted to the Board of Education for approval.  (See also Policy 4131 - Extra Duty and Extended Duty Contracts.)</w:t>
      </w:r>
      <w:r w:rsidR="00E46EF0">
        <w:rPr>
          <w:rFonts w:eastAsia="MS Mincho"/>
        </w:rPr>
        <w:t xml:space="preserve">  </w:t>
      </w:r>
      <w:r w:rsidR="007709A2">
        <w:rPr>
          <w:rFonts w:eastAsia="MS Mincho"/>
        </w:rPr>
        <w:t>S</w:t>
      </w:r>
      <w:r w:rsidR="00E46EF0">
        <w:rPr>
          <w:rFonts w:eastAsia="MS Mincho"/>
        </w:rPr>
        <w:t xml:space="preserve">alary recommendations </w:t>
      </w:r>
      <w:r w:rsidR="007709A2">
        <w:rPr>
          <w:rFonts w:eastAsia="MS Mincho"/>
        </w:rPr>
        <w:t>for</w:t>
      </w:r>
      <w:r w:rsidR="00E46EF0">
        <w:rPr>
          <w:rFonts w:eastAsia="MS Mincho"/>
        </w:rPr>
        <w:t xml:space="preserve"> all administrators </w:t>
      </w:r>
      <w:r w:rsidR="007709A2">
        <w:rPr>
          <w:rFonts w:eastAsia="MS Mincho"/>
        </w:rPr>
        <w:t>will be prepared and submitted to the Board annually</w:t>
      </w:r>
      <w:r w:rsidR="00E46EF0">
        <w:rPr>
          <w:rFonts w:eastAsia="MS Mincho"/>
        </w:rPr>
        <w:t>.  Administrative salaries will be based upon a variety of fact</w:t>
      </w:r>
      <w:r w:rsidR="007709A2">
        <w:rPr>
          <w:rFonts w:eastAsia="MS Mincho"/>
        </w:rPr>
        <w:t xml:space="preserve">ors including, </w:t>
      </w:r>
      <w:r w:rsidR="00E46EF0">
        <w:rPr>
          <w:rFonts w:eastAsia="MS Mincho"/>
        </w:rPr>
        <w:t xml:space="preserve">educational preparation, years of service within the </w:t>
      </w:r>
      <w:proofErr w:type="gramStart"/>
      <w:r w:rsidR="00E46EF0">
        <w:rPr>
          <w:rFonts w:eastAsia="MS Mincho"/>
        </w:rPr>
        <w:t>District</w:t>
      </w:r>
      <w:proofErr w:type="gramEnd"/>
      <w:r w:rsidR="00E46EF0">
        <w:rPr>
          <w:rFonts w:eastAsia="MS Mincho"/>
        </w:rPr>
        <w:t>, and within public education, years of service as an administrator</w:t>
      </w:r>
      <w:r w:rsidR="007709A2">
        <w:rPr>
          <w:rFonts w:eastAsia="MS Mincho"/>
        </w:rPr>
        <w:t xml:space="preserve"> at </w:t>
      </w:r>
      <w:r w:rsidR="00E46EF0">
        <w:rPr>
          <w:rFonts w:eastAsia="MS Mincho"/>
        </w:rPr>
        <w:t>each</w:t>
      </w:r>
      <w:r w:rsidR="007709A2">
        <w:rPr>
          <w:rFonts w:eastAsia="MS Mincho"/>
        </w:rPr>
        <w:t xml:space="preserve"> administrative</w:t>
      </w:r>
      <w:r w:rsidR="00E46EF0">
        <w:rPr>
          <w:rFonts w:eastAsia="MS Mincho"/>
        </w:rPr>
        <w:t xml:space="preserve"> le</w:t>
      </w:r>
      <w:r w:rsidR="007709A2">
        <w:rPr>
          <w:rFonts w:eastAsia="MS Mincho"/>
        </w:rPr>
        <w:t>vel</w:t>
      </w:r>
      <w:r w:rsidR="00E46EF0">
        <w:rPr>
          <w:rFonts w:eastAsia="MS Mincho"/>
        </w:rPr>
        <w:t>, years of service within the District, regional comparisons to similar districts, number of contracted</w:t>
      </w:r>
      <w:r w:rsidR="007709A2">
        <w:rPr>
          <w:rFonts w:eastAsia="MS Mincho"/>
        </w:rPr>
        <w:t xml:space="preserve"> days</w:t>
      </w:r>
      <w:r w:rsidR="00E46EF0">
        <w:rPr>
          <w:rFonts w:eastAsia="MS Mincho"/>
        </w:rPr>
        <w:t>,</w:t>
      </w:r>
      <w:r w:rsidR="007709A2">
        <w:rPr>
          <w:rFonts w:eastAsia="MS Mincho"/>
        </w:rPr>
        <w:t xml:space="preserve"> administrative </w:t>
      </w:r>
      <w:r w:rsidR="00E46EF0">
        <w:rPr>
          <w:rFonts w:eastAsia="MS Mincho"/>
        </w:rPr>
        <w:t>responsibilit</w:t>
      </w:r>
      <w:r w:rsidR="007709A2">
        <w:rPr>
          <w:rFonts w:eastAsia="MS Mincho"/>
        </w:rPr>
        <w:t>ies</w:t>
      </w:r>
      <w:r w:rsidR="00E46EF0">
        <w:rPr>
          <w:rFonts w:eastAsia="MS Mincho"/>
        </w:rPr>
        <w:t xml:space="preserve">, and salaries of other District administrators within category – building and central office.  Consideration will be given to </w:t>
      </w:r>
      <w:r w:rsidR="007709A2">
        <w:rPr>
          <w:rFonts w:eastAsia="MS Mincho"/>
        </w:rPr>
        <w:t>administrators’</w:t>
      </w:r>
      <w:r w:rsidR="00E46EF0">
        <w:rPr>
          <w:rFonts w:eastAsia="MS Mincho"/>
        </w:rPr>
        <w:t xml:space="preserve"> previous salary for all newly hired </w:t>
      </w:r>
      <w:r w:rsidR="007709A2">
        <w:rPr>
          <w:rFonts w:eastAsia="MS Mincho"/>
        </w:rPr>
        <w:t>administrators</w:t>
      </w:r>
      <w:r w:rsidR="00E46EF0">
        <w:rPr>
          <w:rFonts w:eastAsia="MS Mincho"/>
        </w:rPr>
        <w:t>.</w:t>
      </w:r>
    </w:p>
    <w:p w14:paraId="73BB14C5" w14:textId="77777777" w:rsidR="00E46EF0" w:rsidRPr="0053160F" w:rsidRDefault="00E46EF0" w:rsidP="00B50749">
      <w:pPr>
        <w:jc w:val="both"/>
        <w:rPr>
          <w:rFonts w:eastAsia="MS Mincho"/>
          <w:b/>
          <w:bCs/>
        </w:rPr>
      </w:pPr>
    </w:p>
    <w:p w14:paraId="6B18D215" w14:textId="77777777" w:rsidR="00E46EF0" w:rsidRPr="0053160F" w:rsidRDefault="00752593" w:rsidP="00B50749">
      <w:pPr>
        <w:jc w:val="both"/>
        <w:rPr>
          <w:rFonts w:eastAsia="MS Mincho"/>
          <w:b/>
          <w:bCs/>
        </w:rPr>
      </w:pPr>
      <w:r w:rsidRPr="0053160F">
        <w:rPr>
          <w:rFonts w:eastAsia="MS Mincho"/>
          <w:b/>
          <w:bCs/>
        </w:rPr>
        <w:t>Hard-to-Staff Schools</w:t>
      </w:r>
    </w:p>
    <w:p w14:paraId="32406E09" w14:textId="77777777" w:rsidR="00752593" w:rsidRDefault="00752593" w:rsidP="00B50749">
      <w:pPr>
        <w:jc w:val="both"/>
        <w:rPr>
          <w:rFonts w:eastAsia="MS Mincho"/>
        </w:rPr>
      </w:pPr>
    </w:p>
    <w:p w14:paraId="6CCA133A" w14:textId="77777777" w:rsidR="00752593" w:rsidRDefault="00752593" w:rsidP="00B50749">
      <w:pPr>
        <w:jc w:val="both"/>
        <w:rPr>
          <w:rFonts w:eastAsia="MS Mincho"/>
        </w:rPr>
      </w:pPr>
      <w:r>
        <w:rPr>
          <w:rFonts w:eastAsia="MS Mincho"/>
        </w:rPr>
        <w:t xml:space="preserve">The Board of Education may utilize a differentiated placement on the </w:t>
      </w:r>
      <w:proofErr w:type="gramStart"/>
      <w:r>
        <w:rPr>
          <w:rFonts w:eastAsia="MS Mincho"/>
        </w:rPr>
        <w:t>District’s</w:t>
      </w:r>
      <w:proofErr w:type="gramEnd"/>
      <w:r>
        <w:rPr>
          <w:rFonts w:eastAsia="MS Mincho"/>
        </w:rPr>
        <w:t xml:space="preserve"> salary schedule to increase compensation and to facilitate recruiting and retention of teachers in hard to staff subject areas and hard to staff schools.  No modifications will result in the demotion of any teacher on the salary schedule.  The Board of Education will take action on the </w:t>
      </w:r>
      <w:proofErr w:type="gramStart"/>
      <w:r>
        <w:rPr>
          <w:rFonts w:eastAsia="MS Mincho"/>
        </w:rPr>
        <w:t>District’s</w:t>
      </w:r>
      <w:proofErr w:type="gramEnd"/>
      <w:r>
        <w:rPr>
          <w:rFonts w:eastAsia="MS Mincho"/>
        </w:rPr>
        <w:t xml:space="preserve"> salary schedule after all schedule differentiations have been made. </w:t>
      </w:r>
    </w:p>
    <w:p w14:paraId="1F508E9C" w14:textId="77777777" w:rsidR="00752593" w:rsidRDefault="00752593" w:rsidP="00B50749">
      <w:pPr>
        <w:jc w:val="both"/>
        <w:rPr>
          <w:rFonts w:eastAsia="MS Mincho"/>
        </w:rPr>
      </w:pPr>
    </w:p>
    <w:p w14:paraId="707BB7EF" w14:textId="77777777" w:rsidR="00752593" w:rsidRPr="0053160F" w:rsidRDefault="00752593" w:rsidP="00B50749">
      <w:pPr>
        <w:jc w:val="both"/>
        <w:rPr>
          <w:rFonts w:eastAsia="MS Mincho"/>
          <w:b/>
          <w:bCs/>
        </w:rPr>
      </w:pPr>
      <w:r w:rsidRPr="0053160F">
        <w:rPr>
          <w:rFonts w:eastAsia="MS Mincho"/>
          <w:b/>
          <w:bCs/>
        </w:rPr>
        <w:t>Definitions</w:t>
      </w:r>
    </w:p>
    <w:p w14:paraId="554C2DAE" w14:textId="77777777" w:rsidR="00752593" w:rsidRDefault="00752593" w:rsidP="00B50749">
      <w:pPr>
        <w:jc w:val="both"/>
        <w:rPr>
          <w:rFonts w:eastAsia="MS Mincho"/>
        </w:rPr>
      </w:pPr>
    </w:p>
    <w:p w14:paraId="66814EBD" w14:textId="77777777" w:rsidR="00752593" w:rsidRDefault="00752593" w:rsidP="00B50749">
      <w:pPr>
        <w:jc w:val="both"/>
        <w:rPr>
          <w:rFonts w:eastAsia="MS Mincho"/>
        </w:rPr>
      </w:pPr>
      <w:r>
        <w:rPr>
          <w:rFonts w:eastAsia="MS Mincho"/>
        </w:rPr>
        <w:t>“</w:t>
      </w:r>
      <w:r w:rsidRPr="0053160F">
        <w:rPr>
          <w:rFonts w:eastAsia="MS Mincho"/>
          <w:i/>
          <w:iCs/>
        </w:rPr>
        <w:t>Hard</w:t>
      </w:r>
      <w:r>
        <w:rPr>
          <w:rFonts w:eastAsia="MS Mincho"/>
          <w:i/>
          <w:iCs/>
        </w:rPr>
        <w:t>-</w:t>
      </w:r>
      <w:r w:rsidRPr="0053160F">
        <w:rPr>
          <w:rFonts w:eastAsia="MS Mincho"/>
          <w:i/>
          <w:iCs/>
        </w:rPr>
        <w:t>to</w:t>
      </w:r>
      <w:r>
        <w:rPr>
          <w:rFonts w:eastAsia="MS Mincho"/>
          <w:i/>
          <w:iCs/>
        </w:rPr>
        <w:t>-</w:t>
      </w:r>
      <w:r w:rsidRPr="0053160F">
        <w:rPr>
          <w:rFonts w:eastAsia="MS Mincho"/>
          <w:i/>
          <w:iCs/>
        </w:rPr>
        <w:t>Staff Schools</w:t>
      </w:r>
      <w:r>
        <w:rPr>
          <w:rFonts w:eastAsia="MS Mincho"/>
        </w:rPr>
        <w:t>” - attendance centers in which the percentage of certificated positions that were left vacant or were filled with a teacher not fully qualified in the prior academic year exceeds ten (10%) percent as reported to DESE.</w:t>
      </w:r>
    </w:p>
    <w:p w14:paraId="09B6A365" w14:textId="77777777" w:rsidR="00752593" w:rsidRDefault="00752593" w:rsidP="00B50749">
      <w:pPr>
        <w:jc w:val="both"/>
        <w:rPr>
          <w:rFonts w:eastAsia="MS Mincho"/>
        </w:rPr>
      </w:pPr>
    </w:p>
    <w:p w14:paraId="3EA72166" w14:textId="77777777" w:rsidR="00752593" w:rsidRDefault="00752593" w:rsidP="00B50749">
      <w:pPr>
        <w:jc w:val="both"/>
        <w:rPr>
          <w:rFonts w:eastAsia="MS Mincho"/>
        </w:rPr>
      </w:pPr>
      <w:r>
        <w:rPr>
          <w:rFonts w:eastAsia="MS Mincho"/>
        </w:rPr>
        <w:t>“</w:t>
      </w:r>
      <w:r w:rsidRPr="0053160F">
        <w:rPr>
          <w:rFonts w:eastAsia="MS Mincho"/>
          <w:i/>
          <w:iCs/>
        </w:rPr>
        <w:t>Hard</w:t>
      </w:r>
      <w:r>
        <w:rPr>
          <w:rFonts w:eastAsia="MS Mincho"/>
          <w:i/>
          <w:iCs/>
        </w:rPr>
        <w:t>-</w:t>
      </w:r>
      <w:r w:rsidRPr="0053160F">
        <w:rPr>
          <w:rFonts w:eastAsia="MS Mincho"/>
          <w:i/>
          <w:iCs/>
        </w:rPr>
        <w:t>to</w:t>
      </w:r>
      <w:r>
        <w:rPr>
          <w:rFonts w:eastAsia="MS Mincho"/>
          <w:i/>
          <w:iCs/>
        </w:rPr>
        <w:t>-</w:t>
      </w:r>
      <w:r w:rsidRPr="0053160F">
        <w:rPr>
          <w:rFonts w:eastAsia="MS Mincho"/>
          <w:i/>
          <w:iCs/>
        </w:rPr>
        <w:t>Staff Subject Areas</w:t>
      </w:r>
      <w:r>
        <w:rPr>
          <w:rFonts w:eastAsia="MS Mincho"/>
          <w:i/>
          <w:iCs/>
        </w:rPr>
        <w:t>”</w:t>
      </w:r>
      <w:r>
        <w:rPr>
          <w:rFonts w:eastAsia="MS Mincho"/>
        </w:rPr>
        <w:t xml:space="preserve"> – Content areas for which positions were left open or were filled with a teacher not fully qualified in the prior academic year, as reported to DESE.</w:t>
      </w:r>
    </w:p>
    <w:p w14:paraId="2CB91960" w14:textId="77777777" w:rsidR="00752593" w:rsidRDefault="00752593" w:rsidP="00B50749">
      <w:pPr>
        <w:jc w:val="both"/>
        <w:rPr>
          <w:rFonts w:eastAsia="MS Mincho"/>
        </w:rPr>
      </w:pPr>
    </w:p>
    <w:p w14:paraId="540F511D" w14:textId="77777777" w:rsidR="00752593" w:rsidRDefault="00752593" w:rsidP="00B50749">
      <w:pPr>
        <w:jc w:val="both"/>
        <w:rPr>
          <w:rFonts w:eastAsia="MS Mincho"/>
          <w:b/>
          <w:bCs/>
        </w:rPr>
      </w:pPr>
      <w:r w:rsidRPr="0053160F">
        <w:rPr>
          <w:rFonts w:eastAsia="MS Mincho"/>
          <w:b/>
          <w:bCs/>
        </w:rPr>
        <w:t>Reporting</w:t>
      </w:r>
    </w:p>
    <w:p w14:paraId="6AA7AC2F" w14:textId="77777777" w:rsidR="00752593" w:rsidRDefault="00752593" w:rsidP="00B50749">
      <w:pPr>
        <w:jc w:val="both"/>
        <w:rPr>
          <w:rFonts w:eastAsia="MS Mincho"/>
          <w:b/>
          <w:bCs/>
        </w:rPr>
      </w:pPr>
    </w:p>
    <w:p w14:paraId="3D85816F" w14:textId="77777777" w:rsidR="00752593" w:rsidRDefault="00752593" w:rsidP="00B50749">
      <w:pPr>
        <w:jc w:val="both"/>
        <w:rPr>
          <w:rFonts w:eastAsia="MS Mincho"/>
        </w:rPr>
      </w:pPr>
      <w:r>
        <w:rPr>
          <w:rFonts w:eastAsia="MS Mincho"/>
        </w:rPr>
        <w:t xml:space="preserve">The </w:t>
      </w:r>
      <w:proofErr w:type="gramStart"/>
      <w:r>
        <w:rPr>
          <w:rFonts w:eastAsia="MS Mincho"/>
        </w:rPr>
        <w:t>District</w:t>
      </w:r>
      <w:proofErr w:type="gramEnd"/>
      <w:r>
        <w:rPr>
          <w:rFonts w:eastAsia="MS Mincho"/>
        </w:rPr>
        <w:t xml:space="preserve"> when using differentiated placement on the salary schedule under this Policy will annually report to DESE as follows:</w:t>
      </w:r>
    </w:p>
    <w:p w14:paraId="45C34A8D" w14:textId="77777777" w:rsidR="00752593" w:rsidRDefault="00752593" w:rsidP="00B50749">
      <w:pPr>
        <w:jc w:val="both"/>
        <w:rPr>
          <w:rFonts w:eastAsia="MS Mincho"/>
        </w:rPr>
      </w:pPr>
    </w:p>
    <w:p w14:paraId="700FEB25" w14:textId="77777777" w:rsidR="00752593" w:rsidRDefault="00752593" w:rsidP="00752593">
      <w:pPr>
        <w:numPr>
          <w:ilvl w:val="0"/>
          <w:numId w:val="13"/>
        </w:numPr>
        <w:jc w:val="both"/>
        <w:rPr>
          <w:rFonts w:eastAsia="MS Mincho"/>
        </w:rPr>
      </w:pPr>
      <w:r>
        <w:rPr>
          <w:rFonts w:eastAsia="MS Mincho"/>
        </w:rPr>
        <w:t xml:space="preserve">The salary schedule adopted by the </w:t>
      </w:r>
      <w:proofErr w:type="gramStart"/>
      <w:r>
        <w:rPr>
          <w:rFonts w:eastAsia="MS Mincho"/>
        </w:rPr>
        <w:t>District</w:t>
      </w:r>
      <w:proofErr w:type="gramEnd"/>
      <w:r>
        <w:rPr>
          <w:rFonts w:eastAsia="MS Mincho"/>
        </w:rPr>
        <w:t>.</w:t>
      </w:r>
    </w:p>
    <w:p w14:paraId="2DBCE82C" w14:textId="77777777" w:rsidR="00752593" w:rsidRDefault="00752593" w:rsidP="00752593">
      <w:pPr>
        <w:numPr>
          <w:ilvl w:val="0"/>
          <w:numId w:val="13"/>
        </w:numPr>
        <w:jc w:val="both"/>
        <w:rPr>
          <w:rFonts w:eastAsia="MS Mincho"/>
        </w:rPr>
      </w:pPr>
      <w:r>
        <w:rPr>
          <w:rFonts w:eastAsia="MS Mincho"/>
        </w:rPr>
        <w:t xml:space="preserve">The number of positions filled by teachers placed on the salary schedule for hard-to-staff subject areas. </w:t>
      </w:r>
    </w:p>
    <w:p w14:paraId="4323B208" w14:textId="77777777" w:rsidR="00752593" w:rsidRDefault="00752593" w:rsidP="00752593">
      <w:pPr>
        <w:numPr>
          <w:ilvl w:val="0"/>
          <w:numId w:val="13"/>
        </w:numPr>
        <w:jc w:val="both"/>
        <w:rPr>
          <w:rFonts w:eastAsia="MS Mincho"/>
        </w:rPr>
      </w:pPr>
      <w:r>
        <w:rPr>
          <w:rFonts w:eastAsia="MS Mincho"/>
        </w:rPr>
        <w:t>The number of positions filled with teachers placed on the salary schedule for hard-to-staff schedules.</w:t>
      </w:r>
    </w:p>
    <w:p w14:paraId="4B71B2C6" w14:textId="77777777" w:rsidR="00752593" w:rsidRDefault="00752593" w:rsidP="00752593">
      <w:pPr>
        <w:numPr>
          <w:ilvl w:val="0"/>
          <w:numId w:val="13"/>
        </w:numPr>
        <w:jc w:val="both"/>
        <w:rPr>
          <w:rFonts w:eastAsia="MS Mincho"/>
        </w:rPr>
      </w:pPr>
      <w:r>
        <w:rPr>
          <w:rFonts w:eastAsia="MS Mincho"/>
        </w:rPr>
        <w:lastRenderedPageBreak/>
        <w:t>The number of steps and additional compensation that teachers with differentiated placement received for the school year.</w:t>
      </w:r>
    </w:p>
    <w:p w14:paraId="63E435E9" w14:textId="77777777" w:rsidR="00752593" w:rsidRDefault="00752593" w:rsidP="0053160F">
      <w:pPr>
        <w:numPr>
          <w:ilvl w:val="0"/>
          <w:numId w:val="13"/>
        </w:numPr>
        <w:jc w:val="both"/>
        <w:rPr>
          <w:rFonts w:eastAsia="MS Mincho"/>
        </w:rPr>
      </w:pPr>
      <w:r>
        <w:rPr>
          <w:rFonts w:eastAsia="MS Mincho"/>
        </w:rPr>
        <w:t>Any other relevant information requested by the department.</w:t>
      </w:r>
    </w:p>
    <w:p w14:paraId="44F51FA2" w14:textId="77777777" w:rsidR="00752593" w:rsidRDefault="00752593" w:rsidP="00B50749">
      <w:pPr>
        <w:jc w:val="both"/>
        <w:rPr>
          <w:rFonts w:eastAsia="MS Mincho"/>
        </w:rPr>
      </w:pPr>
    </w:p>
    <w:p w14:paraId="0ACB6A96" w14:textId="77777777" w:rsidR="00F93762" w:rsidRDefault="00B50749" w:rsidP="00B50749">
      <w:pPr>
        <w:jc w:val="center"/>
      </w:pPr>
      <w:r>
        <w:t>*****</w:t>
      </w:r>
    </w:p>
    <w:p w14:paraId="38C4C313" w14:textId="77777777" w:rsidR="00B50749" w:rsidRDefault="00B50749" w:rsidP="00B50749">
      <w:pPr>
        <w:jc w:val="center"/>
      </w:pPr>
    </w:p>
    <w:p w14:paraId="6F7C8DC9" w14:textId="77777777" w:rsidR="00B50749" w:rsidRDefault="00752593" w:rsidP="00B50749">
      <w:r>
        <w:t>September 2024,</w:t>
      </w:r>
      <w:r w:rsidR="00B50749">
        <w:t xml:space="preserve"> Copyright © </w:t>
      </w:r>
      <w:r>
        <w:t xml:space="preserve">2024 </w:t>
      </w:r>
      <w:r w:rsidR="00B50749">
        <w:t>Missouri Consultants for Education, LLC</w:t>
      </w:r>
    </w:p>
    <w:sectPr w:rsidR="00B50749">
      <w:headerReference w:type="defaul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A764" w14:textId="77777777" w:rsidR="004351C7" w:rsidRDefault="004351C7">
      <w:r>
        <w:separator/>
      </w:r>
    </w:p>
  </w:endnote>
  <w:endnote w:type="continuationSeparator" w:id="0">
    <w:p w14:paraId="007D429C" w14:textId="77777777" w:rsidR="004351C7" w:rsidRDefault="004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44DC" w14:textId="77777777" w:rsidR="004351C7" w:rsidRDefault="004351C7">
      <w:r>
        <w:separator/>
      </w:r>
    </w:p>
  </w:footnote>
  <w:footnote w:type="continuationSeparator" w:id="0">
    <w:p w14:paraId="5CD77449" w14:textId="77777777" w:rsidR="004351C7" w:rsidRDefault="0043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ECBE" w14:textId="77777777" w:rsidR="00CA0F79" w:rsidRPr="00CA0F79" w:rsidRDefault="00CA0F79" w:rsidP="00CA0F79">
    <w:pPr>
      <w:pStyle w:val="Header"/>
      <w:tabs>
        <w:tab w:val="clear" w:pos="8640"/>
        <w:tab w:val="right" w:pos="9270"/>
      </w:tabs>
      <w:rPr>
        <w:b/>
        <w:bCs/>
      </w:rPr>
    </w:pPr>
    <w:r>
      <w:tab/>
    </w:r>
    <w:r>
      <w:tab/>
    </w:r>
    <w:r w:rsidRPr="00CA0F79">
      <w:rPr>
        <w:b/>
        <w:bCs/>
        <w:u w:val="single"/>
      </w:rPr>
      <w:t>Policy</w:t>
    </w:r>
    <w:r w:rsidRPr="00CA0F79">
      <w:rPr>
        <w:b/>
        <w:bCs/>
      </w:rPr>
      <w:t xml:space="preserve"> 4505</w:t>
    </w:r>
  </w:p>
  <w:p w14:paraId="7A9230E0" w14:textId="77777777" w:rsidR="00CA0F79" w:rsidRDefault="00CA0F79" w:rsidP="00CA0F79">
    <w:pPr>
      <w:pStyle w:val="Header"/>
      <w:tabs>
        <w:tab w:val="clear" w:pos="8640"/>
        <w:tab w:val="right" w:pos="9270"/>
      </w:tabs>
      <w:rPr>
        <w:b/>
        <w:bCs/>
      </w:rPr>
    </w:pPr>
    <w:r w:rsidRPr="00CA0F79">
      <w:rPr>
        <w:b/>
        <w:bCs/>
      </w:rPr>
      <w:tab/>
    </w:r>
    <w:r w:rsidRPr="00CA0F79">
      <w:rPr>
        <w:b/>
        <w:bCs/>
      </w:rPr>
      <w:tab/>
      <w:t>Page 2</w:t>
    </w:r>
  </w:p>
  <w:p w14:paraId="556A0B51" w14:textId="77777777" w:rsidR="00CA0F79" w:rsidRDefault="00CA0F79" w:rsidP="00CA0F79">
    <w:pPr>
      <w:pStyle w:val="Header"/>
      <w:tabs>
        <w:tab w:val="clear" w:pos="8640"/>
        <w:tab w:val="right" w:pos="9270"/>
      </w:tabs>
      <w:rPr>
        <w:b/>
        <w:bCs/>
      </w:rPr>
    </w:pPr>
  </w:p>
  <w:p w14:paraId="60410BB3" w14:textId="77777777" w:rsidR="00CA0F79" w:rsidRPr="00CA0F79" w:rsidRDefault="00CA0F79" w:rsidP="00CA0F79">
    <w:pPr>
      <w:pStyle w:val="Header"/>
      <w:tabs>
        <w:tab w:val="clear" w:pos="8640"/>
        <w:tab w:val="right" w:pos="927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221C"/>
    <w:multiLevelType w:val="hybridMultilevel"/>
    <w:tmpl w:val="9BE0629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CA3FE0"/>
    <w:multiLevelType w:val="hybridMultilevel"/>
    <w:tmpl w:val="F1E8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6620563">
    <w:abstractNumId w:val="4"/>
  </w:num>
  <w:num w:numId="2" w16cid:durableId="360597573">
    <w:abstractNumId w:val="10"/>
  </w:num>
  <w:num w:numId="3" w16cid:durableId="1255938947">
    <w:abstractNumId w:val="7"/>
  </w:num>
  <w:num w:numId="4" w16cid:durableId="700085818">
    <w:abstractNumId w:val="9"/>
  </w:num>
  <w:num w:numId="5" w16cid:durableId="1739399980">
    <w:abstractNumId w:val="3"/>
  </w:num>
  <w:num w:numId="6" w16cid:durableId="5906859">
    <w:abstractNumId w:val="6"/>
  </w:num>
  <w:num w:numId="7" w16cid:durableId="1380124862">
    <w:abstractNumId w:val="5"/>
  </w:num>
  <w:num w:numId="8" w16cid:durableId="243497938">
    <w:abstractNumId w:val="11"/>
  </w:num>
  <w:num w:numId="9" w16cid:durableId="51278290">
    <w:abstractNumId w:val="12"/>
  </w:num>
  <w:num w:numId="10" w16cid:durableId="1625581108">
    <w:abstractNumId w:val="2"/>
  </w:num>
  <w:num w:numId="11" w16cid:durableId="352001842">
    <w:abstractNumId w:val="8"/>
  </w:num>
  <w:num w:numId="12" w16cid:durableId="8726751">
    <w:abstractNumId w:val="0"/>
  </w:num>
  <w:num w:numId="13" w16cid:durableId="82794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EF0"/>
    <w:rsid w:val="00084139"/>
    <w:rsid w:val="000A3082"/>
    <w:rsid w:val="000C768B"/>
    <w:rsid w:val="00310B44"/>
    <w:rsid w:val="00331FE8"/>
    <w:rsid w:val="004047BC"/>
    <w:rsid w:val="004351C7"/>
    <w:rsid w:val="00523A18"/>
    <w:rsid w:val="0053160F"/>
    <w:rsid w:val="00752593"/>
    <w:rsid w:val="007709A2"/>
    <w:rsid w:val="007E0377"/>
    <w:rsid w:val="00827F15"/>
    <w:rsid w:val="00945DF9"/>
    <w:rsid w:val="00970609"/>
    <w:rsid w:val="00B50749"/>
    <w:rsid w:val="00BA27A3"/>
    <w:rsid w:val="00CA0F79"/>
    <w:rsid w:val="00CE574B"/>
    <w:rsid w:val="00E46EF0"/>
    <w:rsid w:val="00ED7CBD"/>
    <w:rsid w:val="00F21B23"/>
    <w:rsid w:val="00F672B9"/>
    <w:rsid w:val="00F9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EEC3A"/>
  <w15:chartTrackingRefBased/>
  <w15:docId w15:val="{83709BD6-1EB9-48BB-98DF-712DD44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EngraversGothic BT" w:hAnsi="EngraversGothic BT"/>
      <w:sz w:val="36"/>
      <w:szCs w:val="36"/>
    </w:rPr>
  </w:style>
  <w:style w:type="paragraph" w:styleId="BalloonText">
    <w:name w:val="Balloon Text"/>
    <w:basedOn w:val="Normal"/>
    <w:semiHidden/>
    <w:rsid w:val="007709A2"/>
    <w:rPr>
      <w:rFonts w:ascii="Tahoma" w:hAnsi="Tahoma" w:cs="Tahoma"/>
      <w:sz w:val="16"/>
      <w:szCs w:val="16"/>
    </w:rPr>
  </w:style>
  <w:style w:type="paragraph" w:styleId="Header">
    <w:name w:val="header"/>
    <w:basedOn w:val="Normal"/>
    <w:rsid w:val="00827F15"/>
    <w:pPr>
      <w:tabs>
        <w:tab w:val="center" w:pos="4320"/>
        <w:tab w:val="right" w:pos="8640"/>
      </w:tabs>
    </w:pPr>
  </w:style>
  <w:style w:type="paragraph" w:styleId="Footer">
    <w:name w:val="footer"/>
    <w:basedOn w:val="Normal"/>
    <w:rsid w:val="00827F15"/>
    <w:pPr>
      <w:tabs>
        <w:tab w:val="center" w:pos="4320"/>
        <w:tab w:val="right" w:pos="8640"/>
      </w:tabs>
    </w:pPr>
  </w:style>
  <w:style w:type="paragraph" w:styleId="Revision">
    <w:name w:val="Revision"/>
    <w:hidden/>
    <w:uiPriority w:val="99"/>
    <w:semiHidden/>
    <w:rsid w:val="007525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2BDD-32ED-44DB-9E95-0DCEAE45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2191</Characters>
  <Application>Microsoft Office Word</Application>
  <DocSecurity>0</DocSecurity>
  <Lines>35</Lines>
  <Paragraphs>40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Nicole Boyles</dc:creator>
  <cp:keywords> </cp:keywords>
  <dc:description> </dc:description>
  <cp:lastModifiedBy>Michelle Ferguson</cp:lastModifiedBy>
  <cp:revision>2</cp:revision>
  <dcterms:created xsi:type="dcterms:W3CDTF">2024-09-15T19:36:00Z</dcterms:created>
  <dcterms:modified xsi:type="dcterms:W3CDTF">2024-09-15T19:36:00Z</dcterms:modified>
  <cp:category> </cp:category>
</cp:coreProperties>
</file>